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560" w:lineRule="exact"/>
        <w:textAlignment w:val="auto"/>
        <w:rPr>
          <w:rFonts w:hint="eastAsia" w:ascii="黑体" w:hAnsi="黑体" w:eastAsia="黑体" w:cs="黑体"/>
          <w:bCs/>
          <w:color w:val="auto"/>
          <w:spacing w:val="-6"/>
          <w:sz w:val="32"/>
          <w:szCs w:val="32"/>
          <w:lang w:val="en-US" w:eastAsia="zh-CN"/>
        </w:rPr>
      </w:pPr>
      <w:r>
        <w:rPr>
          <w:rFonts w:hint="eastAsia" w:ascii="黑体" w:hAnsi="黑体" w:eastAsia="黑体" w:cs="黑体"/>
          <w:bCs/>
          <w:color w:val="auto"/>
          <w:spacing w:val="-6"/>
          <w:sz w:val="32"/>
          <w:szCs w:val="32"/>
        </w:rPr>
        <w:t>附件</w:t>
      </w:r>
      <w:r>
        <w:rPr>
          <w:rFonts w:hint="eastAsia" w:ascii="黑体" w:hAnsi="黑体" w:eastAsia="黑体" w:cs="黑体"/>
          <w:bCs/>
          <w:color w:val="auto"/>
          <w:spacing w:val="-6"/>
          <w:sz w:val="32"/>
          <w:szCs w:val="32"/>
          <w:lang w:val="en-US" w:eastAsia="zh-CN"/>
        </w:rPr>
        <w:t>4</w:t>
      </w:r>
    </w:p>
    <w:p>
      <w:pPr>
        <w:spacing w:line="600" w:lineRule="exact"/>
        <w:jc w:val="both"/>
        <w:rPr>
          <w:rFonts w:hint="eastAsia" w:eastAsia="方正小标宋简体" w:cs="方正小标宋简体"/>
          <w:spacing w:val="-1"/>
          <w:position w:val="1"/>
          <w:sz w:val="44"/>
          <w:szCs w:val="44"/>
        </w:rPr>
      </w:pPr>
    </w:p>
    <w:p>
      <w:pPr>
        <w:widowControl w:val="0"/>
        <w:wordWrap/>
        <w:adjustRightInd/>
        <w:snapToGrid/>
        <w:spacing w:line="560" w:lineRule="exact"/>
        <w:ind w:right="0"/>
        <w:jc w:val="center"/>
        <w:textAlignment w:val="auto"/>
        <w:outlineLvl w:val="9"/>
        <w:rPr>
          <w:rFonts w:hint="eastAsia" w:ascii="方正小标宋简体" w:hAnsi="方正小标宋简体" w:eastAsia="方正小标宋简体" w:cs="方正小标宋简体"/>
          <w:spacing w:val="-1"/>
          <w:position w:val="1"/>
          <w:sz w:val="44"/>
          <w:szCs w:val="44"/>
        </w:rPr>
      </w:pPr>
      <w:r>
        <w:rPr>
          <w:rFonts w:hint="eastAsia" w:ascii="方正小标宋简体" w:hAnsi="方正小标宋简体" w:eastAsia="方正小标宋简体" w:cs="方正小标宋简体"/>
          <w:spacing w:val="-1"/>
          <w:position w:val="1"/>
          <w:sz w:val="44"/>
          <w:szCs w:val="44"/>
        </w:rPr>
        <w:t>清远市市场监督管理局铝合金建筑型材</w:t>
      </w:r>
    </w:p>
    <w:p>
      <w:pPr>
        <w:widowControl w:val="0"/>
        <w:wordWrap/>
        <w:adjustRightInd/>
        <w:snapToGrid/>
        <w:spacing w:line="560" w:lineRule="exact"/>
        <w:ind w:right="0"/>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w w:val="99"/>
          <w:position w:val="1"/>
          <w:sz w:val="44"/>
          <w:szCs w:val="44"/>
        </w:rPr>
        <w:t>产品质量监督</w:t>
      </w:r>
      <w:r>
        <w:rPr>
          <w:rFonts w:hint="eastAsia" w:ascii="方正小标宋简体" w:hAnsi="方正小标宋简体" w:eastAsia="方正小标宋简体" w:cs="方正小标宋简体"/>
          <w:bCs/>
          <w:sz w:val="44"/>
          <w:szCs w:val="44"/>
        </w:rPr>
        <w:t>抽查实施细则</w:t>
      </w:r>
    </w:p>
    <w:p>
      <w:pPr>
        <w:widowControl w:val="0"/>
        <w:wordWrap/>
        <w:adjustRightInd/>
        <w:snapToGrid/>
        <w:spacing w:line="560" w:lineRule="exact"/>
        <w:ind w:left="0" w:leftChars="0" w:right="0" w:firstLine="871" w:firstLineChars="199"/>
        <w:jc w:val="center"/>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eastAsia="zh-CN"/>
        </w:rPr>
        <w:t>版</w:t>
      </w:r>
      <w:r>
        <w:rPr>
          <w:rFonts w:hint="eastAsia" w:ascii="仿宋_GB2312" w:hAnsi="仿宋_GB2312" w:eastAsia="仿宋_GB2312" w:cs="仿宋_GB2312"/>
          <w:bCs/>
          <w:sz w:val="32"/>
          <w:szCs w:val="32"/>
        </w:rPr>
        <w:t>）</w:t>
      </w:r>
    </w:p>
    <w:p>
      <w:pPr>
        <w:widowControl w:val="0"/>
        <w:wordWrap/>
        <w:adjustRightInd/>
        <w:snapToGrid/>
        <w:spacing w:line="560" w:lineRule="exact"/>
        <w:ind w:left="0" w:leftChars="0" w:right="0" w:firstLine="871" w:firstLineChars="199"/>
        <w:textAlignment w:val="auto"/>
        <w:outlineLvl w:val="9"/>
        <w:rPr>
          <w:rFonts w:ascii="黑体" w:hAnsi="黑体" w:eastAsia="黑体" w:cs="黑体"/>
          <w:sz w:val="32"/>
          <w:szCs w:val="32"/>
        </w:rPr>
      </w:pP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bCs/>
          <w:sz w:val="32"/>
          <w:szCs w:val="32"/>
          <w:lang w:eastAsia="zh-CN"/>
        </w:rPr>
      </w:pPr>
      <w:r>
        <w:rPr>
          <w:rFonts w:hint="default" w:ascii="Times New Roman" w:hAnsi="Times New Roman" w:eastAsia="黑体" w:cs="Times New Roman"/>
          <w:bCs/>
          <w:sz w:val="32"/>
          <w:szCs w:val="32"/>
          <w:lang w:eastAsia="zh-CN"/>
        </w:rPr>
        <w:t>1 抽样方法</w:t>
      </w:r>
      <w:bookmarkStart w:id="0" w:name="_GoBack"/>
      <w:bookmarkEnd w:id="0"/>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每批次产品抽取6根型材。检验样品和备用样品均分别从6根型材上截取，其中阳极氧化型材、电泳涂漆型材、喷粉型材和喷漆型材截取12段（1000mm/段），6段为检验样品，6段为备用样品；隔热型材截取84段（</w:t>
      </w:r>
      <w:r>
        <w:rPr>
          <w:rFonts w:hint="default" w:ascii="Times New Roman" w:hAnsi="Times New Roman" w:eastAsia="仿宋_GB2312" w:cs="Times New Roman"/>
          <w:color w:val="000000"/>
          <w:kern w:val="0"/>
          <w:sz w:val="32"/>
          <w:szCs w:val="32"/>
        </w:rPr>
        <w:t>1000mm/段</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kern w:val="0"/>
          <w:sz w:val="32"/>
          <w:szCs w:val="32"/>
        </w:rPr>
        <w:t>12段+100mm/段</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kern w:val="0"/>
          <w:sz w:val="32"/>
          <w:szCs w:val="32"/>
        </w:rPr>
        <w:t>72段</w:t>
      </w:r>
      <w:r>
        <w:rPr>
          <w:rFonts w:hint="default" w:ascii="Times New Roman" w:hAnsi="Times New Roman" w:eastAsia="仿宋_GB2312" w:cs="Times New Roman"/>
          <w:color w:val="000000"/>
          <w:sz w:val="32"/>
          <w:szCs w:val="32"/>
        </w:rPr>
        <w:t>），42段（</w:t>
      </w:r>
      <w:r>
        <w:rPr>
          <w:rFonts w:hint="default" w:ascii="Times New Roman" w:hAnsi="Times New Roman" w:eastAsia="仿宋_GB2312" w:cs="Times New Roman"/>
          <w:color w:val="000000"/>
          <w:kern w:val="0"/>
          <w:sz w:val="32"/>
          <w:szCs w:val="32"/>
        </w:rPr>
        <w:t>1000mm/段</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kern w:val="0"/>
          <w:sz w:val="32"/>
          <w:szCs w:val="32"/>
        </w:rPr>
        <w:t>6段+100mm/段</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kern w:val="0"/>
          <w:sz w:val="32"/>
          <w:szCs w:val="32"/>
        </w:rPr>
        <w:t>36段</w:t>
      </w:r>
      <w:r>
        <w:rPr>
          <w:rFonts w:hint="default" w:ascii="Times New Roman" w:hAnsi="Times New Roman" w:eastAsia="仿宋_GB2312" w:cs="Times New Roman"/>
          <w:color w:val="000000"/>
          <w:sz w:val="32"/>
          <w:szCs w:val="32"/>
        </w:rPr>
        <w:t>）为检验样品，42段（</w:t>
      </w:r>
      <w:r>
        <w:rPr>
          <w:rFonts w:hint="default" w:ascii="Times New Roman" w:hAnsi="Times New Roman" w:eastAsia="仿宋_GB2312" w:cs="Times New Roman"/>
          <w:color w:val="000000"/>
          <w:kern w:val="0"/>
          <w:sz w:val="32"/>
          <w:szCs w:val="32"/>
        </w:rPr>
        <w:t>1000mm/段</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kern w:val="0"/>
          <w:sz w:val="32"/>
          <w:szCs w:val="32"/>
        </w:rPr>
        <w:t>6段+100mm/段</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kern w:val="0"/>
          <w:sz w:val="32"/>
          <w:szCs w:val="32"/>
        </w:rPr>
        <w:t>36段</w:t>
      </w:r>
      <w:r>
        <w:rPr>
          <w:rFonts w:hint="default" w:ascii="Times New Roman" w:hAnsi="Times New Roman" w:eastAsia="仿宋_GB2312" w:cs="Times New Roman"/>
          <w:color w:val="000000"/>
          <w:sz w:val="32"/>
          <w:szCs w:val="32"/>
        </w:rPr>
        <w:t>）为备用样品。</w:t>
      </w:r>
    </w:p>
    <w:p>
      <w:pPr>
        <w:widowControl w:val="0"/>
        <w:wordWrap/>
        <w:adjustRightInd/>
        <w:snapToGrid/>
        <w:spacing w:line="560" w:lineRule="exact"/>
        <w:ind w:left="0" w:leftChars="0" w:right="0" w:firstLine="871" w:firstLineChars="199"/>
        <w:textAlignment w:val="auto"/>
        <w:outlineLvl w:val="9"/>
        <w:rPr>
          <w:rFonts w:hint="eastAsia" w:ascii="仿宋_GB2312" w:hAnsi="仿宋_GB2312" w:eastAsia="仿宋_GB2312" w:cs="仿宋_GB2312"/>
          <w:bCs/>
          <w:color w:val="000000"/>
          <w:sz w:val="32"/>
          <w:szCs w:val="32"/>
          <w:lang w:eastAsia="zh-CN"/>
        </w:rPr>
      </w:pPr>
      <w:r>
        <w:rPr>
          <w:rFonts w:hint="eastAsia" w:ascii="黑体" w:hAnsi="黑体" w:eastAsia="黑体" w:cs="黑体"/>
          <w:bCs/>
          <w:color w:val="000000"/>
          <w:sz w:val="32"/>
          <w:szCs w:val="32"/>
          <w:lang w:eastAsia="zh-CN"/>
        </w:rPr>
        <w:t>2 检验依据</w:t>
      </w:r>
    </w:p>
    <w:p>
      <w:pPr>
        <w:widowControl w:val="0"/>
        <w:wordWrap/>
        <w:adjustRightInd/>
        <w:snapToGrid/>
        <w:spacing w:line="560" w:lineRule="exact"/>
        <w:ind w:left="0" w:leftChars="0" w:right="0" w:firstLine="871" w:firstLineChars="199"/>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表1 阳极氧化型材</w:t>
      </w:r>
    </w:p>
    <w:tbl>
      <w:tblPr>
        <w:tblStyle w:val="6"/>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1191"/>
        <w:gridCol w:w="3110"/>
        <w:gridCol w:w="3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blHeader/>
          <w:jc w:val="center"/>
        </w:trPr>
        <w:tc>
          <w:tcPr>
            <w:tcW w:w="9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序号</w:t>
            </w:r>
          </w:p>
        </w:tc>
        <w:tc>
          <w:tcPr>
            <w:tcW w:w="4301"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检验项目</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1</w:t>
            </w:r>
          </w:p>
        </w:tc>
        <w:tc>
          <w:tcPr>
            <w:tcW w:w="119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化学成分</w:t>
            </w: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Si</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Fe</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20975.4—2020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Cu</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20975.3—2020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Mn</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20975.7—2020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Mg</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20975.16—2020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Cr</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20975.18—2020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Zn</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20975.8—2020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Ti</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20975.12—2020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2</w:t>
            </w:r>
          </w:p>
        </w:tc>
        <w:tc>
          <w:tcPr>
            <w:tcW w:w="119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力学性能</w:t>
            </w: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抗拉强度 R</w:t>
            </w:r>
            <w:r>
              <w:rPr>
                <w:rFonts w:hint="eastAsia" w:ascii="宋体" w:hAnsi="宋体" w:eastAsia="宋体" w:cs="宋体"/>
                <w:sz w:val="28"/>
                <w:szCs w:val="28"/>
                <w:vertAlign w:val="subscript"/>
              </w:rPr>
              <w:t>m</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规定非比例延伸强度 R</w:t>
            </w:r>
            <w:r>
              <w:rPr>
                <w:rFonts w:hint="eastAsia" w:ascii="宋体" w:hAnsi="宋体" w:eastAsia="宋体" w:cs="宋体"/>
                <w:sz w:val="28"/>
                <w:szCs w:val="28"/>
                <w:vertAlign w:val="subscript"/>
              </w:rPr>
              <w:t>p0.2</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断后伸长率 A</w:t>
            </w:r>
            <w:r>
              <w:rPr>
                <w:rFonts w:hint="eastAsia" w:ascii="宋体" w:hAnsi="宋体" w:eastAsia="宋体" w:cs="宋体"/>
                <w:sz w:val="28"/>
                <w:szCs w:val="28"/>
                <w:vertAlign w:val="subscript"/>
              </w:rPr>
              <w:t>50mm</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3</w:t>
            </w:r>
          </w:p>
        </w:tc>
        <w:tc>
          <w:tcPr>
            <w:tcW w:w="119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壁厚尺寸</w:t>
            </w: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壁厚偏差</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5237.2—2017</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4</w:t>
            </w:r>
          </w:p>
        </w:tc>
        <w:tc>
          <w:tcPr>
            <w:tcW w:w="119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膜层性能</w:t>
            </w: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局部膜厚</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8014.1—2005</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4957—2003</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平均膜厚</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8014.1—2005</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4957—2003</w:t>
            </w:r>
          </w:p>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4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119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p>
        </w:tc>
        <w:tc>
          <w:tcPr>
            <w:tcW w:w="311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封孔质量</w:t>
            </w:r>
          </w:p>
        </w:tc>
        <w:tc>
          <w:tcPr>
            <w:tcW w:w="393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宋体" w:hAnsi="宋体" w:eastAsia="宋体" w:cs="宋体"/>
                <w:sz w:val="28"/>
                <w:szCs w:val="28"/>
              </w:rPr>
            </w:pPr>
            <w:r>
              <w:rPr>
                <w:rFonts w:hint="eastAsia" w:ascii="宋体" w:hAnsi="宋体" w:eastAsia="宋体" w:cs="宋体"/>
                <w:sz w:val="28"/>
                <w:szCs w:val="28"/>
              </w:rPr>
              <w:t>GB/T 8753.1—2017</w:t>
            </w:r>
          </w:p>
        </w:tc>
      </w:tr>
    </w:tbl>
    <w:p>
      <w:pPr>
        <w:widowControl w:val="0"/>
        <w:wordWrap/>
        <w:adjustRightInd/>
        <w:snapToGrid/>
        <w:spacing w:line="560" w:lineRule="exact"/>
        <w:ind w:left="0" w:leftChars="0" w:right="0" w:firstLine="871" w:firstLineChars="199"/>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表2 电泳涂漆型材</w:t>
      </w:r>
    </w:p>
    <w:tbl>
      <w:tblPr>
        <w:tblStyle w:val="6"/>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1185"/>
        <w:gridCol w:w="3084"/>
        <w:gridCol w:w="3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blHeader/>
          <w:jc w:val="center"/>
        </w:trPr>
        <w:tc>
          <w:tcPr>
            <w:tcW w:w="93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269"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18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化学成分</w:t>
            </w: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Si</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Fe</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20975.4—2020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Cu</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20975.3—2020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Mn</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20975.7—2020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Mg</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20975.16—2020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Cr</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Zn</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Ti</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20975.12—2020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jc w:val="center"/>
        </w:trPr>
        <w:tc>
          <w:tcPr>
            <w:tcW w:w="93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18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力学性能</w:t>
            </w: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抗拉强度 R</w:t>
            </w:r>
            <w:r>
              <w:rPr>
                <w:rFonts w:hint="default" w:ascii="Times New Roman" w:hAnsi="Times New Roman" w:eastAsia="仿宋_GB2312" w:cs="Times New Roman"/>
                <w:sz w:val="28"/>
                <w:szCs w:val="28"/>
                <w:vertAlign w:val="subscript"/>
              </w:rPr>
              <w:t>m</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规定非比例延伸强度 R</w:t>
            </w:r>
            <w:r>
              <w:rPr>
                <w:rFonts w:hint="default" w:ascii="Times New Roman" w:hAnsi="Times New Roman" w:eastAsia="仿宋_GB2312" w:cs="Times New Roman"/>
                <w:sz w:val="28"/>
                <w:szCs w:val="28"/>
                <w:vertAlign w:val="subscript"/>
              </w:rPr>
              <w:t>p0.2</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断后伸长率 A</w:t>
            </w:r>
            <w:r>
              <w:rPr>
                <w:rFonts w:hint="default" w:ascii="Times New Roman" w:hAnsi="Times New Roman" w:eastAsia="仿宋_GB2312" w:cs="Times New Roman"/>
                <w:sz w:val="28"/>
                <w:szCs w:val="28"/>
                <w:vertAlign w:val="subscript"/>
              </w:rPr>
              <w:t>50mm</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93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118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壁厚尺寸</w:t>
            </w: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壁厚偏差</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5" w:hRule="atLeast"/>
          <w:jc w:val="center"/>
        </w:trPr>
        <w:tc>
          <w:tcPr>
            <w:tcW w:w="93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118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膜层性能</w:t>
            </w:r>
          </w:p>
        </w:tc>
        <w:tc>
          <w:tcPr>
            <w:tcW w:w="3084" w:type="dxa"/>
            <w:vAlign w:val="center"/>
          </w:tcPr>
          <w:p>
            <w:pPr>
              <w:widowControl w:val="0"/>
              <w:tabs>
                <w:tab w:val="left" w:pos="4320"/>
              </w:tabs>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复合膜局部膜厚</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8014.1—2005</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4957—2003</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6462—2005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tabs>
                <w:tab w:val="left" w:pos="4320"/>
              </w:tabs>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漆膜硬度</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6739—2022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tabs>
                <w:tab w:val="left" w:pos="4320"/>
              </w:tabs>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漆膜干附着性</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tabs>
                <w:tab w:val="left" w:pos="4320"/>
              </w:tabs>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漆膜湿附着性</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3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8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8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耐碱性</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5237.3—2017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6461—2002</w:t>
            </w:r>
          </w:p>
        </w:tc>
      </w:tr>
    </w:tbl>
    <w:p>
      <w:pPr>
        <w:widowControl w:val="0"/>
        <w:wordWrap/>
        <w:adjustRightInd/>
        <w:snapToGrid/>
        <w:spacing w:line="560" w:lineRule="exact"/>
        <w:ind w:left="0" w:leftChars="0" w:right="0" w:firstLine="871" w:firstLineChars="199"/>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表3 喷粉型材</w:t>
      </w:r>
    </w:p>
    <w:tbl>
      <w:tblPr>
        <w:tblStyle w:val="6"/>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131"/>
        <w:gridCol w:w="3127"/>
        <w:gridCol w:w="3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96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258"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13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化学成分</w:t>
            </w: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Si</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Fe</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20975.4—2020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Cu</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20975.3—2020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Mn</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20975.7—2020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Mg</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20975.16—2020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Cr</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Zn</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Ti</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20975.12—2020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jc w:val="center"/>
        </w:trPr>
        <w:tc>
          <w:tcPr>
            <w:tcW w:w="96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13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力学性能</w:t>
            </w: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抗拉强度 R</w:t>
            </w:r>
            <w:r>
              <w:rPr>
                <w:rFonts w:hint="default" w:ascii="Times New Roman" w:hAnsi="Times New Roman" w:eastAsia="仿宋_GB2312" w:cs="Times New Roman"/>
                <w:sz w:val="28"/>
                <w:szCs w:val="28"/>
                <w:vertAlign w:val="subscript"/>
              </w:rPr>
              <w:t>m</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规定非比例延伸强度 R</w:t>
            </w:r>
            <w:r>
              <w:rPr>
                <w:rFonts w:hint="default" w:ascii="Times New Roman" w:hAnsi="Times New Roman" w:eastAsia="仿宋_GB2312" w:cs="Times New Roman"/>
                <w:sz w:val="28"/>
                <w:szCs w:val="28"/>
                <w:vertAlign w:val="subscript"/>
              </w:rPr>
              <w:t>p0.2</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断后伸长率 A</w:t>
            </w:r>
            <w:r>
              <w:rPr>
                <w:rFonts w:hint="default" w:ascii="Times New Roman" w:hAnsi="Times New Roman" w:eastAsia="仿宋_GB2312" w:cs="Times New Roman"/>
                <w:sz w:val="28"/>
                <w:szCs w:val="28"/>
                <w:vertAlign w:val="subscript"/>
              </w:rPr>
              <w:t>50mm</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1131"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壁厚尺寸</w:t>
            </w: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壁厚偏差</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jc w:val="center"/>
        </w:trPr>
        <w:tc>
          <w:tcPr>
            <w:tcW w:w="967"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1131"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膜层性能</w:t>
            </w: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装饰面上的膜层局部厚度</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4957—2003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干附着性</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湿附着性</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沸水附着性</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5237.4—2017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jc w:val="center"/>
        </w:trPr>
        <w:tc>
          <w:tcPr>
            <w:tcW w:w="967"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31"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127"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压痕硬度</w:t>
            </w:r>
          </w:p>
        </w:tc>
        <w:tc>
          <w:tcPr>
            <w:tcW w:w="3949"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9275—2008</w:t>
            </w:r>
          </w:p>
        </w:tc>
      </w:tr>
    </w:tbl>
    <w:p>
      <w:pPr>
        <w:widowControl w:val="0"/>
        <w:wordWrap/>
        <w:adjustRightInd/>
        <w:snapToGrid/>
        <w:spacing w:line="560" w:lineRule="exact"/>
        <w:ind w:left="0" w:leftChars="0" w:right="0" w:firstLine="871" w:firstLineChars="199"/>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表4 喷漆型材</w:t>
      </w:r>
    </w:p>
    <w:tbl>
      <w:tblPr>
        <w:tblStyle w:val="6"/>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103"/>
        <w:gridCol w:w="3203"/>
        <w:gridCol w:w="3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tblHeader/>
          <w:jc w:val="center"/>
        </w:trPr>
        <w:tc>
          <w:tcPr>
            <w:tcW w:w="99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306"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检验项目</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103"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化学成分</w:t>
            </w: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Si</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Fe</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20975.4—2020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Cu</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20975.3—2020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Mn</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20975.7—2020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Mg</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20975.16—2020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5"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Cr</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Zn</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Ti</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20975.12—2020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jc w:val="center"/>
        </w:trPr>
        <w:tc>
          <w:tcPr>
            <w:tcW w:w="994"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103"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力学性能</w:t>
            </w: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抗拉强度 R</w:t>
            </w:r>
            <w:r>
              <w:rPr>
                <w:rFonts w:hint="default" w:ascii="Times New Roman" w:hAnsi="Times New Roman" w:eastAsia="仿宋_GB2312" w:cs="Times New Roman"/>
                <w:sz w:val="28"/>
                <w:szCs w:val="28"/>
                <w:vertAlign w:val="subscript"/>
              </w:rPr>
              <w:t>m</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规定非比例延伸强度 R</w:t>
            </w:r>
            <w:r>
              <w:rPr>
                <w:rFonts w:hint="default" w:ascii="Times New Roman" w:hAnsi="Times New Roman" w:eastAsia="仿宋_GB2312" w:cs="Times New Roman"/>
                <w:sz w:val="28"/>
                <w:szCs w:val="28"/>
                <w:vertAlign w:val="subscript"/>
              </w:rPr>
              <w:t>p0.2</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jc w:val="center"/>
        </w:trPr>
        <w:tc>
          <w:tcPr>
            <w:tcW w:w="994"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断后伸长率 A</w:t>
            </w:r>
            <w:r>
              <w:rPr>
                <w:rFonts w:hint="default" w:ascii="Times New Roman" w:hAnsi="Times New Roman" w:eastAsia="仿宋_GB2312" w:cs="Times New Roman"/>
                <w:sz w:val="28"/>
                <w:szCs w:val="28"/>
                <w:vertAlign w:val="subscript"/>
              </w:rPr>
              <w:t>50mm</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11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壁厚尺寸</w:t>
            </w: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壁厚偏差</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1103"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膜层性能</w:t>
            </w: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平均膜厚</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4957—2003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局部膜厚</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4957—2003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硬度</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6739—2022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干附着性</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湿附着性</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94"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1103" w:type="dxa"/>
            <w:vMerge w:val="continue"/>
            <w:vAlign w:val="center"/>
          </w:tcPr>
          <w:p>
            <w:pPr>
              <w:widowControl w:val="0"/>
              <w:wordWrap/>
              <w:adjustRightInd/>
              <w:snapToGrid/>
              <w:spacing w:line="240" w:lineRule="auto"/>
              <w:ind w:left="0" w:leftChars="0" w:right="0" w:firstLine="0" w:firstLineChars="0"/>
              <w:textAlignment w:val="auto"/>
              <w:outlineLvl w:val="9"/>
              <w:rPr>
                <w:rFonts w:hint="default" w:ascii="Times New Roman" w:hAnsi="Times New Roman" w:eastAsia="仿宋_GB2312" w:cs="Times New Roman"/>
                <w:sz w:val="28"/>
                <w:szCs w:val="28"/>
              </w:rPr>
            </w:pPr>
          </w:p>
        </w:tc>
        <w:tc>
          <w:tcPr>
            <w:tcW w:w="320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沸水附着性</w:t>
            </w:r>
          </w:p>
        </w:tc>
        <w:tc>
          <w:tcPr>
            <w:tcW w:w="3874"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5237.5—2017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9286—2021</w:t>
            </w:r>
          </w:p>
        </w:tc>
      </w:tr>
    </w:tbl>
    <w:p>
      <w:pPr>
        <w:widowControl w:val="0"/>
        <w:wordWrap/>
        <w:adjustRightInd/>
        <w:snapToGrid/>
        <w:spacing w:line="560" w:lineRule="exact"/>
        <w:ind w:left="0" w:leftChars="0" w:right="0" w:firstLine="871" w:firstLineChars="199"/>
        <w:jc w:val="center"/>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表5 隔热型材</w:t>
      </w:r>
    </w:p>
    <w:tbl>
      <w:tblPr>
        <w:tblStyle w:val="6"/>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1093"/>
        <w:gridCol w:w="3098"/>
        <w:gridCol w:w="3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blHeader/>
          <w:jc w:val="center"/>
        </w:trPr>
        <w:tc>
          <w:tcPr>
            <w:tcW w:w="101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color w:val="000000"/>
                <w:sz w:val="28"/>
                <w:szCs w:val="28"/>
              </w:rPr>
              <w:t>序号</w:t>
            </w:r>
          </w:p>
        </w:tc>
        <w:tc>
          <w:tcPr>
            <w:tcW w:w="4191"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color w:val="000000"/>
                <w:sz w:val="28"/>
                <w:szCs w:val="28"/>
              </w:rPr>
              <w:t>检验项目</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093"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化学成分</w:t>
            </w: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Si</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Fe</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20975.4—2020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Cu</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20975.3—2020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Mn</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20975.7—2020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Mg</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20975.16—2020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Cr</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Zn</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20975.8—2020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Ti</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20975.12—2020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20975.25—2020</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7999—2015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1015"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093" w:type="dxa"/>
            <w:vMerge w:val="restart"/>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力学性能</w:t>
            </w: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抗拉强度 R</w:t>
            </w:r>
            <w:r>
              <w:rPr>
                <w:rFonts w:hint="default" w:ascii="Times New Roman" w:hAnsi="Times New Roman" w:eastAsia="仿宋_GB2312" w:cs="Times New Roman"/>
                <w:sz w:val="28"/>
                <w:szCs w:val="28"/>
                <w:vertAlign w:val="subscript"/>
              </w:rPr>
              <w:t>m</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规定非比例延伸强度 R</w:t>
            </w:r>
            <w:r>
              <w:rPr>
                <w:rFonts w:hint="default" w:ascii="Times New Roman" w:hAnsi="Times New Roman" w:eastAsia="仿宋_GB2312" w:cs="Times New Roman"/>
                <w:sz w:val="28"/>
                <w:szCs w:val="28"/>
                <w:vertAlign w:val="subscript"/>
              </w:rPr>
              <w:t>p0.2</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5"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1093" w:type="dxa"/>
            <w:vMerge w:val="continue"/>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断后伸长率 A</w:t>
            </w:r>
            <w:r>
              <w:rPr>
                <w:rFonts w:hint="default" w:ascii="Times New Roman" w:hAnsi="Times New Roman" w:eastAsia="仿宋_GB2312" w:cs="Times New Roman"/>
                <w:sz w:val="28"/>
                <w:szCs w:val="28"/>
                <w:vertAlign w:val="subscript"/>
              </w:rPr>
              <w:t>50mm</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16865—2023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015"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1093"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壁厚尺寸</w:t>
            </w:r>
          </w:p>
        </w:tc>
        <w:tc>
          <w:tcPr>
            <w:tcW w:w="309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壁厚偏差</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5237.6—2017</w:t>
            </w:r>
          </w:p>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GB/T 5237.1—2017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1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Times New Roman" w:hAnsi="Times New Roman" w:eastAsia="仿宋_GB2312" w:cs="Times New Roman"/>
                <w:sz w:val="28"/>
                <w:szCs w:val="28"/>
                <w:lang w:val="en-US" w:eastAsia="zh-CN"/>
              </w:rPr>
            </w:pPr>
            <w:r>
              <w:rPr>
                <w:rFonts w:hint="eastAsia" w:cs="Times New Roman"/>
                <w:sz w:val="28"/>
                <w:szCs w:val="28"/>
                <w:lang w:val="en-US" w:eastAsia="zh-CN"/>
              </w:rPr>
              <w:t>4</w:t>
            </w:r>
          </w:p>
        </w:tc>
        <w:tc>
          <w:tcPr>
            <w:tcW w:w="4191" w:type="dxa"/>
            <w:gridSpan w:val="2"/>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膜层性能</w:t>
            </w:r>
          </w:p>
        </w:tc>
        <w:tc>
          <w:tcPr>
            <w:tcW w:w="3968" w:type="dxa"/>
            <w:vAlign w:val="center"/>
          </w:tcPr>
          <w:p>
            <w:pPr>
              <w:widowControl w:val="0"/>
              <w:wordWrap/>
              <w:adjustRightInd/>
              <w:snapToGrid/>
              <w:spacing w:line="240" w:lineRule="auto"/>
              <w:ind w:left="0" w:leftChars="0" w:right="0" w:firstLine="0" w:firstLineChars="0"/>
              <w:jc w:val="center"/>
              <w:textAlignment w:val="auto"/>
              <w:outlineLvl w:val="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（按表面处理方式不同，分别见表1、表2、表3和表4）</w:t>
            </w:r>
          </w:p>
        </w:tc>
      </w:tr>
    </w:tbl>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执行企业标准、团体标准、地方标准的产品，检验项目参照上述内容执行。</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凡是注日期的文件，其随后所有的修改单（不包括勘误的内容）或修订版不适用于本细则。凡是不注日期的文件，其最新版本适用于本细则。</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黑体" w:cs="Times New Roman"/>
          <w:color w:val="000000"/>
          <w:sz w:val="32"/>
          <w:szCs w:val="32"/>
          <w:lang w:eastAsia="zh-CN"/>
        </w:rPr>
        <w:t>3 判定规则</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w:t>
      </w:r>
      <w:r>
        <w:rPr>
          <w:rFonts w:hint="default" w:ascii="Times New Roman" w:hAnsi="Times New Roman" w:eastAsia="仿宋_GB2312" w:cs="Times New Roman"/>
          <w:color w:val="000000"/>
          <w:sz w:val="32"/>
          <w:szCs w:val="32"/>
        </w:rPr>
        <w:t>依据标准</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5237.2—2017 铝合金建筑型材 第2部分：阳极氧化型材</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5237.3—2017 铝合金建筑型材 第3部分：电泳涂漆型材</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5237.4—2017 铝合金建筑型材 第4部分：喷粉型材</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5237.5—2017 铝合金建筑型材 第5部分：喷漆型材</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5237.6—2017 铝合金建筑型材 第6部分：隔热型材</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现行有效的企业标准、团体标准、地方标准及产品明示质量要求</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经检验，检验项目全部合格，判定为被抽查产品所检项目未发现不合格；检验项目中任一项或一项以上不合格，判定为被抽查产品不合格。</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若被检产品明示的质量要求高于本细则中检验项目依据的标准要求时，应按被检产品明示的质量要求判定。</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若被检产品明示的质量要求低于本细则中检验项目依据的强制性标准要求时，应按照强制性标准要求判定。</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若被检产品明示的质量要求低于或包含本细则中检验项目依据的推荐性标准要求时，应以被检产品明示的质量要求判定。</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若被检产品明示的质量要求缺少本细则中检验项目依据的强制性标准要求时，应按照强制性标准要求判定。</w:t>
      </w:r>
    </w:p>
    <w:p>
      <w:pPr>
        <w:widowControl w:val="0"/>
        <w:wordWrap/>
        <w:adjustRightInd/>
        <w:snapToGrid/>
        <w:spacing w:line="560" w:lineRule="exact"/>
        <w:ind w:left="0" w:leftChars="0" w:right="0" w:firstLine="871" w:firstLineChars="199"/>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若被检产品明示的质量要求缺少本细则中检验项目依据的推荐性标准要求时，该项目不参与判定。</w:t>
      </w:r>
    </w:p>
    <w:p>
      <w:pPr>
        <w:widowControl w:val="0"/>
        <w:wordWrap/>
        <w:adjustRightInd/>
        <w:snapToGrid/>
        <w:spacing w:line="560" w:lineRule="exact"/>
        <w:ind w:left="0" w:leftChars="0" w:right="0" w:firstLine="871" w:firstLineChars="199"/>
        <w:textAlignment w:val="auto"/>
        <w:outlineLvl w:val="9"/>
        <w:rPr>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仿宋_GBK">
    <w:panose1 w:val="03000509000000000000"/>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GungsuhChe">
    <w:panose1 w:val="02030609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F3F6D"/>
    <w:rsid w:val="00092A40"/>
    <w:rsid w:val="005F3F6D"/>
    <w:rsid w:val="008267FD"/>
    <w:rsid w:val="00A47DF8"/>
    <w:rsid w:val="00B02C2C"/>
    <w:rsid w:val="00C21675"/>
    <w:rsid w:val="00C31559"/>
    <w:rsid w:val="00EA1F80"/>
    <w:rsid w:val="0C5E14F5"/>
    <w:rsid w:val="17A3650B"/>
    <w:rsid w:val="187447AF"/>
    <w:rsid w:val="208D02F8"/>
    <w:rsid w:val="331C5269"/>
    <w:rsid w:val="3A4C09F1"/>
    <w:rsid w:val="41D871CB"/>
    <w:rsid w:val="7F716417"/>
    <w:rsid w:val="7FC32B2C"/>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5"/>
    <w:link w:val="2"/>
    <w:qFormat/>
    <w:uiPriority w:val="9"/>
    <w:rPr>
      <w:rFonts w:ascii="Times New Roman" w:hAnsi="Times New Roman" w:eastAsia="仿宋_GB2312" w:cs="Times New Roman"/>
      <w:b/>
      <w:bCs/>
      <w:kern w:val="44"/>
      <w:sz w:val="44"/>
      <w:szCs w:val="44"/>
    </w:rPr>
  </w:style>
  <w:style w:type="character" w:customStyle="1" w:styleId="8">
    <w:name w:val="页眉 Char"/>
    <w:basedOn w:val="5"/>
    <w:link w:val="4"/>
    <w:semiHidden/>
    <w:qFormat/>
    <w:uiPriority w:val="99"/>
    <w:rPr>
      <w:rFonts w:ascii="Times New Roman" w:hAnsi="Times New Roman" w:eastAsia="仿宋_GB2312" w:cs="Times New Roman"/>
      <w:sz w:val="18"/>
      <w:szCs w:val="18"/>
    </w:rPr>
  </w:style>
  <w:style w:type="character" w:customStyle="1" w:styleId="9">
    <w:name w:val="页脚 Char"/>
    <w:basedOn w:val="5"/>
    <w:link w:val="3"/>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1844</Words>
  <Characters>5894</Characters>
  <Lines>25</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2024-04-25T07:24:00Z</dcterms:created>
  <dc:creator>Microsoft</dc:creator>
  <cp:lastModifiedBy>杨艳华</cp:lastModifiedBy>
  <dcterms:modified xsi:type="dcterms:W3CDTF">2025-06-05T06:53:38Z</dcterms:modified>
  <dc:title>清远市市场监督管理局铝合金建筑型材产品质量监督抽查实施细则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eyJoZGlkIjoiMjhkZGYzNzZhYmM1ZWYwYmZjNGViODUxZWE1NzExODAiLCJ1c2VySWQiOiIyMzQ2MTkwNDEifQ==</vt:lpwstr>
  </property>
  <property fmtid="{D5CDD505-2E9C-101B-9397-08002B2CF9AE}" pid="3" name="KSOProductBuildVer">
    <vt:lpwstr>2052-9.1.0.4940</vt:lpwstr>
  </property>
  <property fmtid="{D5CDD505-2E9C-101B-9397-08002B2CF9AE}" pid="4" name="ICV">
    <vt:lpwstr>AA0F050369E24914B4C969A7417DC8D3_12</vt:lpwstr>
  </property>
</Properties>
</file>