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jc w:val="center"/>
        <w:rPr>
          <w:rFonts w:ascii="黑体" w:hAnsi="黑体" w:eastAsia="黑体" w:cs="Times New Roman"/>
          <w:b/>
          <w:kern w:val="2"/>
          <w:sz w:val="44"/>
          <w:szCs w:val="44"/>
        </w:rPr>
      </w:pPr>
      <w:r>
        <w:rPr>
          <w:rFonts w:ascii="黑体" w:hAnsi="黑体" w:eastAsia="黑体" w:cs="Times New Roman"/>
          <w:b/>
          <w:kern w:val="2"/>
          <w:sz w:val="44"/>
          <w:szCs w:val="44"/>
        </w:rPr>
        <w:t>2022年度广东省科学技术奖公示表</w:t>
      </w:r>
    </w:p>
    <w:p>
      <w:pPr>
        <w:pStyle w:val="2"/>
        <w:spacing w:before="30"/>
        <w:ind w:left="321"/>
        <w:jc w:val="center"/>
        <w:rPr>
          <w:rFonts w:hint="eastAsia" w:ascii="Times New Roman" w:hAnsi="Times New Roman" w:cs="Times New Roman"/>
          <w:bCs w:val="0"/>
          <w:kern w:val="2"/>
          <w:sz w:val="32"/>
          <w:szCs w:val="24"/>
        </w:rPr>
      </w:pPr>
      <w:bookmarkStart w:id="0" w:name="（突出贡献奖格式）"/>
      <w:bookmarkEnd w:id="0"/>
      <w:bookmarkStart w:id="1" w:name="（自然科学奖、技术发明奖、科技进步奖、科技成果推广奖格式）"/>
      <w:bookmarkEnd w:id="1"/>
      <w:r>
        <w:rPr>
          <w:rFonts w:ascii="Times New Roman" w:hAnsi="Times New Roman" w:cs="Times New Roman"/>
          <w:bCs w:val="0"/>
          <w:kern w:val="2"/>
          <w:sz w:val="32"/>
          <w:szCs w:val="24"/>
        </w:rPr>
        <w:t>（科技成果推广）</w:t>
      </w:r>
    </w:p>
    <w:p>
      <w:pPr>
        <w:pStyle w:val="2"/>
        <w:spacing w:before="1"/>
        <w:rPr>
          <w:spacing w:val="-4"/>
        </w:rPr>
      </w:pPr>
    </w:p>
    <w:tbl>
      <w:tblPr>
        <w:tblStyle w:val="5"/>
        <w:tblW w:w="93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5"/>
        <w:gridCol w:w="82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1135" w:type="dxa"/>
          </w:tcPr>
          <w:p>
            <w:pPr>
              <w:pStyle w:val="7"/>
              <w:spacing w:before="142"/>
              <w:ind w:left="384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项目</w:t>
            </w:r>
            <w:r>
              <w:rPr>
                <w:rFonts w:hint="eastAsia"/>
                <w:b/>
                <w:spacing w:val="-2"/>
                <w:sz w:val="24"/>
                <w:szCs w:val="24"/>
              </w:rPr>
              <w:t>、</w:t>
            </w:r>
            <w:r>
              <w:rPr>
                <w:b/>
                <w:spacing w:val="-2"/>
                <w:sz w:val="24"/>
                <w:szCs w:val="24"/>
              </w:rPr>
              <w:t>名</w:t>
            </w:r>
            <w:r>
              <w:rPr>
                <w:b/>
                <w:spacing w:val="-10"/>
                <w:sz w:val="24"/>
                <w:szCs w:val="24"/>
              </w:rPr>
              <w:t>称</w:t>
            </w:r>
          </w:p>
        </w:tc>
        <w:tc>
          <w:tcPr>
            <w:tcW w:w="8221" w:type="dxa"/>
            <w:vAlign w:val="center"/>
          </w:tcPr>
          <w:p>
            <w:pPr>
              <w:pStyle w:val="7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 w:bidi="ar-SA"/>
              </w:rPr>
              <w:t>高端宠物药莫昔克丁的关键技术研发及产业化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1135" w:type="dxa"/>
            <w:vAlign w:val="center"/>
          </w:tcPr>
          <w:p>
            <w:pPr>
              <w:pStyle w:val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主要完</w:t>
            </w:r>
            <w:r>
              <w:rPr>
                <w:b/>
                <w:spacing w:val="-5"/>
                <w:sz w:val="24"/>
                <w:szCs w:val="24"/>
              </w:rPr>
              <w:t>成单位</w:t>
            </w:r>
          </w:p>
        </w:tc>
        <w:tc>
          <w:tcPr>
            <w:tcW w:w="8221" w:type="dxa"/>
            <w:vAlign w:val="center"/>
          </w:tcPr>
          <w:p>
            <w:pPr>
              <w:pStyle w:val="7"/>
              <w:spacing w:before="1"/>
              <w:ind w:left="108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</w:rPr>
              <w:t>丽珠集团新北江制药股份有限公司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135" w:type="dxa"/>
            <w:vMerge w:val="restart"/>
          </w:tcPr>
          <w:p>
            <w:pPr>
              <w:pStyle w:val="7"/>
              <w:rPr>
                <w:b/>
                <w:sz w:val="24"/>
                <w:szCs w:val="24"/>
              </w:rPr>
            </w:pPr>
          </w:p>
          <w:p>
            <w:pPr>
              <w:pStyle w:val="7"/>
              <w:spacing w:before="146"/>
              <w:ind w:left="266" w:right="26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主要完</w:t>
            </w:r>
            <w:r>
              <w:rPr>
                <w:b/>
                <w:spacing w:val="-6"/>
                <w:sz w:val="24"/>
                <w:szCs w:val="24"/>
              </w:rPr>
              <w:t>成人</w:t>
            </w:r>
          </w:p>
          <w:p>
            <w:pPr>
              <w:pStyle w:val="7"/>
              <w:spacing w:before="2" w:line="242" w:lineRule="auto"/>
              <w:ind w:left="108" w:right="23" w:hanging="7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（职</w:t>
            </w:r>
            <w:r>
              <w:rPr>
                <w:b/>
                <w:spacing w:val="-39"/>
                <w:sz w:val="24"/>
                <w:szCs w:val="24"/>
              </w:rPr>
              <w:t>称、</w:t>
            </w:r>
            <w:r>
              <w:rPr>
                <w:b/>
                <w:spacing w:val="-2"/>
                <w:sz w:val="24"/>
                <w:szCs w:val="24"/>
              </w:rPr>
              <w:t>完成单位、工作单位</w:t>
            </w:r>
            <w:r>
              <w:rPr>
                <w:b/>
                <w:spacing w:val="-10"/>
                <w:sz w:val="24"/>
                <w:szCs w:val="24"/>
              </w:rPr>
              <w:t>）</w:t>
            </w:r>
          </w:p>
        </w:tc>
        <w:tc>
          <w:tcPr>
            <w:tcW w:w="8221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1.陈果（ 职称：工程师；工作单位：丽珠集团新北江制药股份有限公司；完成单位：丽珠集团新北江制药股份有限公司；主要贡献：项目的负责人，整体从工艺、质量和注册申报等进行把控衔接。在本项目中提出发酵工艺优化、溶剂替换、氧化反应优化及结晶优化的试验思路并指导技术人员进行试验，解决了三个关键技术问题，并大力推进项目的产业化，实现了产量、收率、质量的提升，提高市场竞争力，社会效益和经济效益显著；为完成发明专利《一种合成莫昔克丁的方法》提供技术支持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135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2.陈倩倩（职称：未取得；工作单位：丽珠集团新北江制药股份有限公司；完成单位：丽珠集团新北江制药股份有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限公司；主要贡献：主要负责产品质量过程监控、杂质传递研究、质量对比等方面工作，对生产提出指导性的判断。）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1135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>
            <w:pPr>
              <w:pStyle w:val="7"/>
              <w:spacing w:before="63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3.王龙书（职称：未取得；工作单位：丽珠集团新北江制药股份有限公司；完成单位：丽珠集团新北江制药股份有限公司；主要贡献：主要负责氧化工艺的开发、结晶工艺的优化。）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135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>
            <w:pPr>
              <w:pStyle w:val="7"/>
              <w:spacing w:before="76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4.边亚西（职称：未取得；工作单位：丽珠集团新北江制药股份有限公司；完成单位：丽珠集团新北江制药股份有限公司；主要贡献：主要负责发酵工艺研究及开发。）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1135" w:type="dxa"/>
          </w:tcPr>
          <w:p>
            <w:pPr>
              <w:pStyle w:val="7"/>
              <w:spacing w:line="242" w:lineRule="auto"/>
              <w:ind w:right="27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代表性论文</w:t>
            </w:r>
            <w:r>
              <w:rPr>
                <w:b/>
                <w:spacing w:val="-4"/>
                <w:sz w:val="24"/>
                <w:szCs w:val="24"/>
              </w:rPr>
              <w:t>专著目录</w:t>
            </w:r>
          </w:p>
        </w:tc>
        <w:tc>
          <w:tcPr>
            <w:tcW w:w="8221" w:type="dxa"/>
            <w:vAlign w:val="center"/>
          </w:tcPr>
          <w:p>
            <w:pPr>
              <w:pStyle w:val="7"/>
              <w:spacing w:before="63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135" w:type="dxa"/>
            <w:vMerge w:val="restart"/>
            <w:vAlign w:val="center"/>
          </w:tcPr>
          <w:p>
            <w:pPr>
              <w:pStyle w:val="7"/>
              <w:spacing w:before="159"/>
              <w:ind w:left="17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知识产</w:t>
            </w:r>
            <w:r>
              <w:rPr>
                <w:b/>
                <w:spacing w:val="-5"/>
                <w:sz w:val="24"/>
                <w:szCs w:val="24"/>
              </w:rPr>
              <w:t>权名称</w:t>
            </w:r>
          </w:p>
        </w:tc>
        <w:tc>
          <w:tcPr>
            <w:tcW w:w="8221" w:type="dxa"/>
          </w:tcPr>
          <w:p>
            <w:pPr>
              <w:pStyle w:val="7"/>
              <w:spacing w:before="62"/>
              <w:ind w:left="10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7"/>
                <w:sz w:val="24"/>
                <w:szCs w:val="24"/>
              </w:rPr>
              <w:t xml:space="preserve">专利 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1：&lt;一种合成莫昔克丁的方法&gt;（专利授权号：ZL202010667151.8、发明人：王标、姜桥、温军贤、赖建龙、陈果，权利人：丽珠集团新北江制药股份有限公司</w:t>
            </w: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>
            <w:pPr>
              <w:pStyle w:val="7"/>
              <w:spacing w:before="63"/>
              <w:ind w:left="10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7"/>
                <w:sz w:val="24"/>
                <w:szCs w:val="24"/>
              </w:rPr>
              <w:t xml:space="preserve">专利 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2：&lt;一种妥布霉素的提纯方法&gt;（专利授权号：ZL201610148946.1、发明人：李敬辉，谢国才，陈果，权利人：丽珠集团新北江制药股份有限公司</w:t>
            </w: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>
            <w:pPr>
              <w:pStyle w:val="7"/>
              <w:spacing w:before="64"/>
              <w:ind w:left="10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7"/>
                <w:sz w:val="24"/>
                <w:szCs w:val="24"/>
              </w:rPr>
              <w:t xml:space="preserve">专利 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3：&lt;一种吗替麦考酚酯制备方法&gt;（专利授权号：ZL201710144526.0、发明人：陈果，罗海祥，黄伟容，黄晓明，向双，权利人：丽珠集团新北江制药股份有限公司</w:t>
            </w: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>
            <w:pPr>
              <w:pStyle w:val="7"/>
              <w:spacing w:before="74"/>
              <w:ind w:left="10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7"/>
                <w:sz w:val="24"/>
                <w:szCs w:val="24"/>
              </w:rPr>
              <w:t>专利 4：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&lt;具咪唑环的布瓦西坦新中间体及其合成方法的和应用&gt;（专利授权号：ZL201810756860.6，发明人：王龙书，姜桥，卢增杰，陈月嫦，陈果，李敬辉，唐阳刚，权利人：丽珠集团新北江制药股份有限公司</w:t>
            </w: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>
            <w:pPr>
              <w:pStyle w:val="7"/>
              <w:spacing w:before="74"/>
              <w:ind w:left="108"/>
              <w:rPr>
                <w:rFonts w:hint="eastAsia" w:ascii="仿宋" w:hAnsi="仿宋" w:eastAsia="仿宋" w:cs="仿宋"/>
                <w:spacing w:val="-1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7"/>
                <w:sz w:val="24"/>
                <w:szCs w:val="24"/>
              </w:rPr>
              <w:t>专利 5：&lt;一种制备异噁唑啉类中间体及异噁唑啉的方法 &gt;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（专利授权号：ZL201910292049.1，发明人：李冰冰; 姜桥; 朱君琳，权利人：丽珠集团新北江制药股份有限公司</w:t>
            </w: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>
            <w:pPr>
              <w:pStyle w:val="7"/>
              <w:spacing w:before="74"/>
              <w:ind w:left="108"/>
              <w:rPr>
                <w:rFonts w:hint="eastAsia" w:ascii="仿宋" w:hAnsi="仿宋" w:eastAsia="仿宋" w:cs="仿宋"/>
                <w:spacing w:val="-1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7"/>
                <w:sz w:val="24"/>
                <w:szCs w:val="24"/>
              </w:rPr>
              <w:t>专利 6：&lt;一种阿卡波糖发酵液的前处理及检测方法&gt;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（专利授权号：ZL201811295579.3，发明人：陈倩倩、张勇、王珂、李想、唐阳刚，权利人：丽珠集团新北江制药股份有限公司</w:t>
            </w: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>
            <w:pPr>
              <w:pStyle w:val="7"/>
              <w:spacing w:before="74"/>
              <w:ind w:left="108"/>
              <w:rPr>
                <w:rFonts w:hint="eastAsia" w:ascii="仿宋" w:hAnsi="仿宋" w:eastAsia="仿宋" w:cs="仿宋"/>
                <w:spacing w:val="-1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7"/>
                <w:sz w:val="24"/>
                <w:szCs w:val="24"/>
              </w:rPr>
              <w:t>专利 7：&lt;一种特拉万星的制备方法&gt;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（专利授权号：ZL201810857119.9，发明人：黄丽霞、李冰冰、姜桥、陈果、李成波，权利人：丽珠集团新北江制药股份有限公司</w:t>
            </w: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>
            <w:pPr>
              <w:pStyle w:val="7"/>
              <w:spacing w:before="74"/>
              <w:ind w:left="108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7"/>
                <w:sz w:val="24"/>
                <w:szCs w:val="24"/>
              </w:rPr>
              <w:t>专利 8：&lt;Method for Safely Preparing Pimavanserin and Tartrate Thereof by Using Triphosgene&gt;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（专利授权号：US10934257B2，发明人：王标,姜桥,李冰冰,彭木荣,谢伟健，权利人：丽珠集团新北江制药股份有限公司</w:t>
            </w: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>
            <w:pPr>
              <w:pStyle w:val="7"/>
              <w:spacing w:before="74"/>
              <w:ind w:left="108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7"/>
                <w:sz w:val="24"/>
                <w:szCs w:val="24"/>
              </w:rPr>
              <w:t>专利 9：&lt;一种异噁唑啉类杀虫剂的制备方法&gt;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（专利授权号：ZL201910206232.5，发明人：李冰冰; 姜桥; 朱君琳，权利人：丽珠集团新北江制药股份有限公司</w:t>
            </w: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135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>
            <w:pPr>
              <w:pStyle w:val="7"/>
              <w:spacing w:before="74"/>
              <w:ind w:left="108"/>
              <w:rPr>
                <w:rFonts w:hint="eastAsia" w:ascii="仿宋" w:hAnsi="仿宋" w:eastAsia="仿宋" w:cs="仿宋"/>
                <w:w w:val="9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7"/>
                <w:sz w:val="24"/>
                <w:szCs w:val="24"/>
              </w:rPr>
              <w:t>专利 10：&lt;一种制备特拉万星的方法&gt;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（专利授权号：ZL201810857460.4，发明人：李冰冰、姜桥、陈果、李成波、黄丽霞，权利人：丽珠集团新北江制药股份有限公司</w:t>
            </w: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172A27"/>
    <w:rsid w:val="003A2474"/>
    <w:rsid w:val="008266D4"/>
    <w:rsid w:val="00884512"/>
    <w:rsid w:val="00F53CFD"/>
    <w:rsid w:val="2C2C2550"/>
    <w:rsid w:val="3DF9748A"/>
    <w:rsid w:val="56710C5E"/>
    <w:rsid w:val="625A44CA"/>
    <w:rsid w:val="6B536CDE"/>
    <w:rsid w:val="78C46D1F"/>
    <w:rsid w:val="DF75F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1"/>
    <w:rPr>
      <w:rFonts w:ascii="宋体" w:hAnsi="宋体" w:eastAsia="宋体" w:cs="宋体"/>
      <w:b/>
      <w:bCs/>
      <w:sz w:val="36"/>
      <w:szCs w:val="36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Table Paragraph"/>
    <w:basedOn w:val="1"/>
    <w:qFormat/>
    <w:uiPriority w:val="1"/>
  </w:style>
  <w:style w:type="character" w:customStyle="1" w:styleId="8">
    <w:name w:val="页眉 Char"/>
    <w:basedOn w:val="6"/>
    <w:link w:val="4"/>
    <w:qFormat/>
    <w:uiPriority w:val="0"/>
    <w:rPr>
      <w:rFonts w:ascii="仿宋" w:hAnsi="仿宋" w:eastAsia="仿宋" w:cs="仿宋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仿宋" w:hAnsi="仿宋" w:eastAsia="仿宋" w:cs="仿宋"/>
      <w:sz w:val="18"/>
      <w:szCs w:val="18"/>
    </w:rPr>
  </w:style>
  <w:style w:type="character" w:customStyle="1" w:styleId="10">
    <w:name w:val="正文文本 Char"/>
    <w:basedOn w:val="6"/>
    <w:link w:val="2"/>
    <w:qFormat/>
    <w:uiPriority w:val="1"/>
    <w:rPr>
      <w:rFonts w:ascii="宋体" w:hAnsi="宋体" w:eastAsia="宋体" w:cs="宋体"/>
      <w:b/>
      <w:bCs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235</Words>
  <Characters>1341</Characters>
  <Lines>11</Lines>
  <Paragraphs>3</Paragraphs>
  <TotalTime>7</TotalTime>
  <ScaleCrop>false</ScaleCrop>
  <LinksUpToDate>false</LinksUpToDate>
  <CharactersWithSpaces>1573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2022-10-31T04:27:00Z</dcterms:created>
  <dc:creator>zengbaoying</dc:creator>
  <cp:lastModifiedBy>user</cp:lastModifiedBy>
  <cp:lastPrinted>2022-10-31T16:51:00Z</cp:lastPrinted>
  <dcterms:modified xsi:type="dcterms:W3CDTF">2022-10-31T09:14:13Z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